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07" w:rsidRDefault="00681107" w:rsidP="00681107">
      <w:pPr>
        <w:rPr>
          <w:b/>
          <w:u w:val="single"/>
        </w:rPr>
      </w:pPr>
      <w:r>
        <w:rPr>
          <w:b/>
          <w:u w:val="single"/>
        </w:rPr>
        <w:t>Community Council Meeting February 7</w:t>
      </w:r>
      <w:r w:rsidRPr="0068110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3:15 2019 = In the Library</w:t>
      </w:r>
      <w:r w:rsidR="00561E45">
        <w:rPr>
          <w:b/>
          <w:u w:val="single"/>
        </w:rPr>
        <w:t xml:space="preserve"> </w:t>
      </w:r>
      <w:r w:rsidR="00561E45" w:rsidRPr="00561E45">
        <w:rPr>
          <w:b/>
          <w:color w:val="FF0000"/>
          <w:u w:val="single"/>
        </w:rPr>
        <w:t>with Minutes</w:t>
      </w:r>
    </w:p>
    <w:p w:rsidR="00D06F02" w:rsidRDefault="00D06F02" w:rsidP="00681107">
      <w:pPr>
        <w:rPr>
          <w:b/>
          <w:u w:val="single"/>
        </w:rPr>
      </w:pPr>
      <w:r>
        <w:rPr>
          <w:b/>
          <w:u w:val="single"/>
        </w:rPr>
        <w:t>Members Present:</w:t>
      </w:r>
      <w:r w:rsidR="00561E45">
        <w:rPr>
          <w:b/>
          <w:u w:val="single"/>
        </w:rPr>
        <w:t xml:space="preserve"> </w:t>
      </w:r>
      <w:r w:rsidR="00561E45" w:rsidRPr="00561E45">
        <w:rPr>
          <w:b/>
          <w:color w:val="FF0000"/>
          <w:u w:val="single"/>
        </w:rPr>
        <w:t>Marcus Wager, Scott Lyons, Suzanne Moss, Nancy Kennedy, David Lee</w:t>
      </w:r>
    </w:p>
    <w:p w:rsidR="00D06F02" w:rsidRDefault="00D06F02" w:rsidP="00681107">
      <w:pPr>
        <w:rPr>
          <w:b/>
          <w:u w:val="single"/>
        </w:rPr>
      </w:pPr>
    </w:p>
    <w:p w:rsidR="00681107" w:rsidRDefault="00681107" w:rsidP="00681107">
      <w:pPr>
        <w:pStyle w:val="ListParagraph"/>
        <w:numPr>
          <w:ilvl w:val="0"/>
          <w:numId w:val="1"/>
        </w:numPr>
      </w:pPr>
      <w:r>
        <w:t xml:space="preserve">Review School Improvement Plan progress </w:t>
      </w:r>
      <w:r w:rsidR="00561E45">
        <w:rPr>
          <w:color w:val="FF0000"/>
        </w:rPr>
        <w:t>Reviewed &amp; Explained the goals to the new members.</w:t>
      </w:r>
    </w:p>
    <w:p w:rsidR="00D06F02" w:rsidRPr="00D06F02" w:rsidRDefault="00D06F02" w:rsidP="00D06F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06F02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Language Arts: </w:t>
      </w:r>
      <w:r w:rsidRPr="00D06F02">
        <w:rPr>
          <w:rFonts w:ascii="Arial Narrow" w:eastAsia="Times New Roman" w:hAnsi="Arial Narrow"/>
          <w:bCs/>
          <w:color w:val="000000"/>
          <w:sz w:val="24"/>
          <w:szCs w:val="24"/>
        </w:rPr>
        <w:t>We would like to increase our student’s proficiency in Language Arts. We will accomplish this by having 80% of our students in Kinder. – 5</w:t>
      </w:r>
      <w:r w:rsidRPr="00D06F02">
        <w:rPr>
          <w:rFonts w:ascii="Arial Narrow" w:eastAsia="Times New Roman" w:hAnsi="Arial Narrow"/>
          <w:bCs/>
          <w:color w:val="000000"/>
          <w:sz w:val="24"/>
          <w:szCs w:val="24"/>
          <w:vertAlign w:val="superscript"/>
        </w:rPr>
        <w:t>th</w:t>
      </w:r>
      <w:r w:rsidRPr="00D06F02">
        <w:rPr>
          <w:rFonts w:ascii="Arial Narrow" w:eastAsia="Times New Roman" w:hAnsi="Arial Narrow"/>
          <w:bCs/>
          <w:color w:val="000000"/>
          <w:sz w:val="24"/>
          <w:szCs w:val="24"/>
        </w:rPr>
        <w:t xml:space="preserve"> grade achieve proficiency on the DIBELS Composite score, by May 2019; or 80% of students will master 90% of their skills (using District Rubric) on the: BPAST for Kindergarten, or the BEPA for 1st, 2nd &amp; 3rd grade (Kindergarten all BEPAST, 1st Grade = skill 5 on BEPA, 2nd grade up to skill 10, 3rd grade up to 15a). </w:t>
      </w:r>
      <w:r w:rsidR="00561E45" w:rsidRPr="00561E45">
        <w:rPr>
          <w:rFonts w:ascii="Arial Narrow" w:eastAsia="Times New Roman" w:hAnsi="Arial Narrow"/>
          <w:bCs/>
          <w:color w:val="FF0000"/>
          <w:sz w:val="24"/>
          <w:szCs w:val="24"/>
        </w:rPr>
        <w:t xml:space="preserve">Spent time describing the BEPA and BEPAST to all members.  </w:t>
      </w:r>
    </w:p>
    <w:p w:rsidR="00D06F02" w:rsidRPr="00D06F02" w:rsidRDefault="00D06F02" w:rsidP="00D06F02">
      <w:pPr>
        <w:pStyle w:val="ListParagraph"/>
        <w:numPr>
          <w:ilvl w:val="1"/>
          <w:numId w:val="1"/>
        </w:num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D06F02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Math: </w:t>
      </w:r>
      <w:r w:rsidRPr="00D06F02">
        <w:rPr>
          <w:rFonts w:ascii="Arial Narrow" w:hAnsi="Arial Narrow"/>
          <w:iCs/>
          <w:color w:val="000000"/>
          <w:sz w:val="24"/>
          <w:szCs w:val="24"/>
        </w:rPr>
        <w:t>We want to improve our student’s mastery of the Essential Math BELS at each grade level. Our goal is that (80%= Kind -5</w:t>
      </w:r>
      <w:r w:rsidRPr="00D06F02">
        <w:rPr>
          <w:rFonts w:ascii="Arial Narrow" w:hAnsi="Arial Narrow"/>
          <w:iCs/>
          <w:color w:val="000000"/>
          <w:sz w:val="24"/>
          <w:szCs w:val="24"/>
          <w:vertAlign w:val="superscript"/>
        </w:rPr>
        <w:t>th</w:t>
      </w:r>
      <w:r w:rsidRPr="00D06F02">
        <w:rPr>
          <w:rFonts w:ascii="Arial Narrow" w:hAnsi="Arial Narrow"/>
          <w:iCs/>
          <w:color w:val="000000"/>
          <w:sz w:val="24"/>
          <w:szCs w:val="24"/>
        </w:rPr>
        <w:t>) of our students will master 80% on the May 2019 administration of BELS Benchmark Assessments.</w:t>
      </w:r>
    </w:p>
    <w:p w:rsidR="00D06F02" w:rsidRPr="00561E45" w:rsidRDefault="00561E45" w:rsidP="00D06F02">
      <w:pPr>
        <w:rPr>
          <w:color w:val="FF0000"/>
        </w:rPr>
      </w:pPr>
      <w:r w:rsidRPr="00561E45">
        <w:rPr>
          <w:color w:val="FF0000"/>
        </w:rPr>
        <w:t>We also reviewed the recommended cycle of decision making as provided by Mrs. Gordon from the state.  We talked about how it is a continual process of improvements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with  the</w:t>
      </w:r>
      <w:proofErr w:type="gramEnd"/>
      <w:r w:rsidRPr="00561E45">
        <w:rPr>
          <w:color w:val="FF0000"/>
        </w:rPr>
        <w:t xml:space="preserve"> help of the council. </w:t>
      </w:r>
    </w:p>
    <w:p w:rsidR="00681107" w:rsidRDefault="00681107" w:rsidP="00681107">
      <w:pPr>
        <w:pStyle w:val="ListParagraph"/>
        <w:numPr>
          <w:ilvl w:val="0"/>
          <w:numId w:val="1"/>
        </w:numPr>
      </w:pPr>
      <w:r>
        <w:t>Begin preparation for Trust lands plan writing</w:t>
      </w:r>
    </w:p>
    <w:p w:rsidR="00D06F02" w:rsidRDefault="00D06F02" w:rsidP="00D06F02">
      <w:pPr>
        <w:pStyle w:val="ListParagraph"/>
        <w:numPr>
          <w:ilvl w:val="1"/>
          <w:numId w:val="1"/>
        </w:numPr>
      </w:pPr>
      <w:r>
        <w:t xml:space="preserve">Look at </w:t>
      </w:r>
      <w:proofErr w:type="spellStart"/>
      <w:r>
        <w:t>Mid year</w:t>
      </w:r>
      <w:proofErr w:type="spellEnd"/>
      <w:r>
        <w:t xml:space="preserve"> data = DIBELS, BEPA Grades 1-3</w:t>
      </w:r>
      <w:r w:rsidR="00561E45">
        <w:t xml:space="preserve"> = </w:t>
      </w:r>
      <w:r w:rsidR="00561E45">
        <w:rPr>
          <w:color w:val="FF0000"/>
        </w:rPr>
        <w:t>Looked at DIBELS data sheets from BOY to MOY</w:t>
      </w:r>
    </w:p>
    <w:p w:rsidR="00D06F02" w:rsidRDefault="00D06F02" w:rsidP="00D06F02">
      <w:pPr>
        <w:pStyle w:val="ListParagraph"/>
        <w:numPr>
          <w:ilvl w:val="1"/>
          <w:numId w:val="1"/>
        </w:numPr>
      </w:pPr>
      <w:r>
        <w:t xml:space="preserve">In </w:t>
      </w:r>
      <w:proofErr w:type="gramStart"/>
      <w:r>
        <w:t>March</w:t>
      </w:r>
      <w:proofErr w:type="gramEnd"/>
      <w:r>
        <w:t xml:space="preserve"> we will have Math data to date on our Math Essentials</w:t>
      </w:r>
      <w:r w:rsidR="00561E45">
        <w:t xml:space="preserve"> = </w:t>
      </w:r>
      <w:r w:rsidR="00561E45" w:rsidRPr="00561E45">
        <w:rPr>
          <w:color w:val="FF0000"/>
        </w:rPr>
        <w:t xml:space="preserve">We will review the math BELS assessments progress to date. </w:t>
      </w:r>
    </w:p>
    <w:p w:rsidR="00D06F02" w:rsidRDefault="00D06F02" w:rsidP="00D06F02">
      <w:pPr>
        <w:pStyle w:val="ListParagraph"/>
        <w:numPr>
          <w:ilvl w:val="1"/>
          <w:numId w:val="1"/>
        </w:numPr>
      </w:pPr>
      <w:r>
        <w:t>We will look at draft goals for the 19-20 school year</w:t>
      </w:r>
      <w:r w:rsidR="00561E45">
        <w:t xml:space="preserve"> = </w:t>
      </w:r>
      <w:r w:rsidR="00561E45" w:rsidRPr="00561E45">
        <w:rPr>
          <w:color w:val="FF0000"/>
        </w:rPr>
        <w:t xml:space="preserve">Motion made by Scott Lyons to have teacher committee develop draft goals and present them to us on </w:t>
      </w:r>
      <w:proofErr w:type="gramStart"/>
      <w:r w:rsidR="00561E45" w:rsidRPr="00561E45">
        <w:rPr>
          <w:color w:val="FF0000"/>
        </w:rPr>
        <w:t>the 7</w:t>
      </w:r>
      <w:r w:rsidR="00561E45" w:rsidRPr="00561E45">
        <w:rPr>
          <w:color w:val="FF0000"/>
          <w:vertAlign w:val="superscript"/>
        </w:rPr>
        <w:t>th</w:t>
      </w:r>
      <w:r w:rsidR="00561E45" w:rsidRPr="00561E45">
        <w:rPr>
          <w:color w:val="FF0000"/>
        </w:rPr>
        <w:t xml:space="preserve"> of March</w:t>
      </w:r>
      <w:proofErr w:type="gramEnd"/>
      <w:r w:rsidR="00561E45" w:rsidRPr="00561E45">
        <w:rPr>
          <w:color w:val="FF0000"/>
        </w:rPr>
        <w:t xml:space="preserve">. </w:t>
      </w:r>
      <w:proofErr w:type="gramStart"/>
      <w:r w:rsidR="00561E45" w:rsidRPr="00561E45">
        <w:rPr>
          <w:color w:val="FF0000"/>
        </w:rPr>
        <w:t>2</w:t>
      </w:r>
      <w:r w:rsidR="00561E45" w:rsidRPr="00561E45">
        <w:rPr>
          <w:color w:val="FF0000"/>
          <w:vertAlign w:val="superscript"/>
        </w:rPr>
        <w:t>nd</w:t>
      </w:r>
      <w:proofErr w:type="gramEnd"/>
      <w:r w:rsidR="00561E45" w:rsidRPr="00561E45">
        <w:rPr>
          <w:color w:val="FF0000"/>
        </w:rPr>
        <w:t xml:space="preserve"> by Suzanne Moss.   = vote 4 – 0 in favor. Motion </w:t>
      </w:r>
      <w:r w:rsidR="00EB49FB" w:rsidRPr="00561E45">
        <w:rPr>
          <w:color w:val="FF0000"/>
        </w:rPr>
        <w:t>passes</w:t>
      </w:r>
      <w:r w:rsidR="00561E45" w:rsidRPr="00561E45">
        <w:rPr>
          <w:color w:val="FF0000"/>
        </w:rPr>
        <w:t>.</w:t>
      </w:r>
    </w:p>
    <w:p w:rsidR="00681107" w:rsidRDefault="00681107" w:rsidP="00681107">
      <w:pPr>
        <w:pStyle w:val="ListParagraph"/>
        <w:numPr>
          <w:ilvl w:val="0"/>
          <w:numId w:val="1"/>
        </w:numPr>
      </w:pPr>
      <w:r>
        <w:t>Training pieces</w:t>
      </w:r>
      <w:r w:rsidR="00D06F02">
        <w:t xml:space="preserve"> = </w:t>
      </w:r>
      <w:proofErr w:type="gramStart"/>
      <w:r w:rsidR="00D06F02">
        <w:t>You</w:t>
      </w:r>
      <w:proofErr w:type="gramEnd"/>
      <w:r w:rsidR="00D06F02">
        <w:t xml:space="preserve"> would have received an e-mail from the Trust lands office, with training elements for the community council.  If you have had a chance to look at that, are there any questions?</w:t>
      </w:r>
    </w:p>
    <w:p w:rsidR="00681107" w:rsidRPr="00561E45" w:rsidRDefault="00D06F02" w:rsidP="00681107">
      <w:pPr>
        <w:pStyle w:val="ListParagraph"/>
        <w:numPr>
          <w:ilvl w:val="0"/>
          <w:numId w:val="1"/>
        </w:numPr>
        <w:rPr>
          <w:color w:val="FF0000"/>
        </w:rPr>
      </w:pPr>
      <w:r>
        <w:t>Trust lands</w:t>
      </w:r>
      <w:r w:rsidR="00681107">
        <w:t xml:space="preserve"> budget to date</w:t>
      </w:r>
      <w:r w:rsidR="00561E45">
        <w:t xml:space="preserve"> </w:t>
      </w:r>
      <w:r w:rsidR="00561E45" w:rsidRPr="00561E45">
        <w:rPr>
          <w:color w:val="FF0000"/>
        </w:rPr>
        <w:t xml:space="preserve">= we reviewed the included budget summary, and the council agreed that this was adequate to review each time to see the expenditures to date.  </w:t>
      </w:r>
      <w:r w:rsidR="008E2CF6">
        <w:rPr>
          <w:color w:val="FF0000"/>
        </w:rPr>
        <w:t xml:space="preserve">All of our funding goes to fund our interventionists. </w:t>
      </w:r>
    </w:p>
    <w:tbl>
      <w:tblPr>
        <w:tblW w:w="14578" w:type="dxa"/>
        <w:tblLook w:val="04A0" w:firstRow="1" w:lastRow="0" w:firstColumn="1" w:lastColumn="0" w:noHBand="0" w:noVBand="1"/>
      </w:tblPr>
      <w:tblGrid>
        <w:gridCol w:w="3938"/>
        <w:gridCol w:w="3340"/>
        <w:gridCol w:w="3890"/>
        <w:gridCol w:w="1420"/>
        <w:gridCol w:w="1420"/>
        <w:gridCol w:w="1420"/>
        <w:gridCol w:w="1120"/>
        <w:gridCol w:w="500"/>
      </w:tblGrid>
      <w:tr w:rsidR="00D06F02" w:rsidRPr="00D06F02" w:rsidTr="00D06F02">
        <w:trPr>
          <w:trHeight w:val="480"/>
        </w:trPr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2B6A97"/>
                <w:sz w:val="28"/>
                <w:szCs w:val="28"/>
              </w:rPr>
              <w:t>134 - Foothill Elementary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proofErr w:type="spellStart"/>
            <w:r w:rsidR="0040644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Bnbnbnbnbnbnbnbnbnbnbnbnbnbnbnbnbnbn</w:t>
            </w:r>
            <w:proofErr w:type="spellEnd"/>
            <w:r w:rsidR="0040644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                              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278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233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383"/>
        </w:trPr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b/>
                <w:bCs/>
                <w:color w:val="2B6A97"/>
                <w:sz w:val="24"/>
                <w:szCs w:val="24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2B6A97"/>
                <w:sz w:val="24"/>
                <w:szCs w:val="24"/>
              </w:rPr>
              <w:t>5420 - School Land Trust Program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597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492"/>
        </w:trPr>
        <w:tc>
          <w:tcPr>
            <w:tcW w:w="3938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Account No</w:t>
            </w:r>
          </w:p>
        </w:tc>
        <w:tc>
          <w:tcPr>
            <w:tcW w:w="334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Account Description</w:t>
            </w:r>
          </w:p>
        </w:tc>
        <w:tc>
          <w:tcPr>
            <w:tcW w:w="142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Adjusted Budget</w:t>
            </w:r>
          </w:p>
        </w:tc>
        <w:tc>
          <w:tcPr>
            <w:tcW w:w="142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Encumbrance</w:t>
            </w:r>
          </w:p>
        </w:tc>
        <w:tc>
          <w:tcPr>
            <w:tcW w:w="142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Actual</w:t>
            </w:r>
          </w:p>
        </w:tc>
        <w:tc>
          <w:tcPr>
            <w:tcW w:w="142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Balance</w:t>
            </w:r>
          </w:p>
        </w:tc>
        <w:tc>
          <w:tcPr>
            <w:tcW w:w="1120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Percent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308"/>
        </w:trPr>
        <w:tc>
          <w:tcPr>
            <w:tcW w:w="3938" w:type="dxa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10-134-9-5420-1000-161</w:t>
            </w:r>
          </w:p>
        </w:tc>
        <w:tc>
          <w:tcPr>
            <w:tcW w:w="334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TRUSTLAND Aide Salaries</w:t>
            </w:r>
          </w:p>
        </w:tc>
        <w:tc>
          <w:tcPr>
            <w:tcW w:w="142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26,102.49</w:t>
            </w:r>
          </w:p>
        </w:tc>
        <w:tc>
          <w:tcPr>
            <w:tcW w:w="142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($26,102.49)</w:t>
            </w:r>
          </w:p>
        </w:tc>
        <w:tc>
          <w:tcPr>
            <w:tcW w:w="1120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308"/>
        </w:trPr>
        <w:tc>
          <w:tcPr>
            <w:tcW w:w="3938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10-134-9-5420-1000-220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TRUSTLND FICA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2,024.65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($2,024.65)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308"/>
        </w:trPr>
        <w:tc>
          <w:tcPr>
            <w:tcW w:w="3938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10-134-9-5420-1000-600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TRUSTLND PRIOR YEAR CARRYOVER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$154.75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308"/>
        </w:trPr>
        <w:tc>
          <w:tcPr>
            <w:tcW w:w="3938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10-134-9-5420-1000-610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TRUSTLND SUPPLIES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60,180.00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$60,180.00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06F02" w:rsidRPr="00D06F02" w:rsidTr="00D06F02">
        <w:trPr>
          <w:trHeight w:val="297"/>
        </w:trPr>
        <w:tc>
          <w:tcPr>
            <w:tcW w:w="3938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6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60,334.75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28,127.14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$32,207.61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6F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06F02" w:rsidRPr="00D06F02" w:rsidRDefault="00D06F02" w:rsidP="00D06F0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06F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D06F02" w:rsidRDefault="00D06F02" w:rsidP="00D06F02"/>
    <w:p w:rsidR="00681107" w:rsidRDefault="00681107" w:rsidP="00681107">
      <w:pPr>
        <w:pStyle w:val="ListParagraph"/>
        <w:numPr>
          <w:ilvl w:val="0"/>
          <w:numId w:val="1"/>
        </w:numPr>
      </w:pPr>
      <w:proofErr w:type="gramStart"/>
      <w:r>
        <w:lastRenderedPageBreak/>
        <w:t>Report back</w:t>
      </w:r>
      <w:proofErr w:type="gramEnd"/>
      <w:r>
        <w:t xml:space="preserve"> on Internet safety. Parent note</w:t>
      </w:r>
      <w:r w:rsidR="00D06F02">
        <w:t xml:space="preserve"> </w:t>
      </w:r>
      <w:r w:rsidR="00D06F02" w:rsidRPr="00561E45">
        <w:rPr>
          <w:color w:val="FF0000"/>
        </w:rPr>
        <w:t>= we are supposed to decide what resource if any to send home</w:t>
      </w:r>
      <w:r w:rsidR="00561E45">
        <w:rPr>
          <w:color w:val="FF0000"/>
        </w:rPr>
        <w:t>.</w:t>
      </w:r>
      <w:r w:rsidR="00561E45" w:rsidRPr="00561E45">
        <w:rPr>
          <w:color w:val="FF0000"/>
        </w:rPr>
        <w:t xml:space="preserve"> </w:t>
      </w:r>
      <w:r w:rsidR="00561E45">
        <w:rPr>
          <w:color w:val="FF0000"/>
        </w:rPr>
        <w:t xml:space="preserve"> </w:t>
      </w:r>
      <w:r w:rsidR="00561E45" w:rsidRPr="00561E45">
        <w:rPr>
          <w:color w:val="FF0000"/>
        </w:rPr>
        <w:t>This assembly occurred in January with all students in the school.  We would like to have a note that goes home to all council members, which would also include a come set of language that we use when talking about safety with students for parents to use</w:t>
      </w:r>
      <w:r w:rsidR="00561E45">
        <w:t xml:space="preserve">.  </w:t>
      </w:r>
    </w:p>
    <w:p w:rsidR="0080289F" w:rsidRDefault="0080289F" w:rsidP="00681107">
      <w:pPr>
        <w:pStyle w:val="ListParagraph"/>
        <w:numPr>
          <w:ilvl w:val="0"/>
          <w:numId w:val="1"/>
        </w:numPr>
      </w:pPr>
      <w:r>
        <w:t>Any future agenda items?</w:t>
      </w:r>
    </w:p>
    <w:p w:rsidR="0087582C" w:rsidRDefault="00D06F02" w:rsidP="00681107">
      <w:pPr>
        <w:rPr>
          <w:u w:val="single"/>
        </w:rPr>
      </w:pPr>
      <w:r>
        <w:rPr>
          <w:u w:val="single"/>
        </w:rPr>
        <w:t xml:space="preserve">Next </w:t>
      </w:r>
      <w:r w:rsidR="00681107">
        <w:rPr>
          <w:u w:val="single"/>
        </w:rPr>
        <w:t>Meeting date</w:t>
      </w:r>
      <w:r>
        <w:rPr>
          <w:u w:val="single"/>
        </w:rPr>
        <w:t>: March</w:t>
      </w:r>
      <w:r w:rsidR="00681107">
        <w:rPr>
          <w:u w:val="single"/>
        </w:rPr>
        <w:t xml:space="preserve"> 7</w:t>
      </w:r>
      <w:r w:rsidR="00681107">
        <w:rPr>
          <w:u w:val="single"/>
          <w:vertAlign w:val="superscript"/>
        </w:rPr>
        <w:t>th</w:t>
      </w:r>
      <w:r w:rsidR="00681107">
        <w:rPr>
          <w:u w:val="single"/>
        </w:rPr>
        <w:t xml:space="preserve"> @ 3:15</w:t>
      </w:r>
      <w:r>
        <w:rPr>
          <w:u w:val="single"/>
        </w:rPr>
        <w:t xml:space="preserve"> = Library</w:t>
      </w:r>
    </w:p>
    <w:p w:rsidR="00561E45" w:rsidRPr="00561E45" w:rsidRDefault="00561E45" w:rsidP="00681107">
      <w:pPr>
        <w:rPr>
          <w:color w:val="FF0000"/>
        </w:rPr>
      </w:pPr>
      <w:r w:rsidRPr="00561E45">
        <w:rPr>
          <w:color w:val="FF0000"/>
          <w:u w:val="single"/>
        </w:rPr>
        <w:t>Motion to adjourn, made by Marcus wager, all in favor, 4-0</w:t>
      </w:r>
    </w:p>
    <w:sectPr w:rsidR="00561E45" w:rsidRPr="00561E45" w:rsidSect="00D06F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17390"/>
    <w:multiLevelType w:val="hybridMultilevel"/>
    <w:tmpl w:val="59D4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7"/>
    <w:rsid w:val="0040644E"/>
    <w:rsid w:val="00561E45"/>
    <w:rsid w:val="005E761C"/>
    <w:rsid w:val="00681107"/>
    <w:rsid w:val="0080289F"/>
    <w:rsid w:val="008E2CF6"/>
    <w:rsid w:val="00AC009A"/>
    <w:rsid w:val="00D06F02"/>
    <w:rsid w:val="00EB49FB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96F4"/>
  <w15:chartTrackingRefBased/>
  <w15:docId w15:val="{7019A678-343A-412C-9A26-48A355A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07"/>
    <w:pPr>
      <w:ind w:left="720"/>
    </w:pPr>
  </w:style>
  <w:style w:type="table" w:styleId="TableGrid">
    <w:name w:val="Table Grid"/>
    <w:basedOn w:val="TableNormal"/>
    <w:uiPriority w:val="59"/>
    <w:rsid w:val="00681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5</cp:revision>
  <dcterms:created xsi:type="dcterms:W3CDTF">2019-02-12T00:36:00Z</dcterms:created>
  <dcterms:modified xsi:type="dcterms:W3CDTF">2019-02-28T23:59:00Z</dcterms:modified>
</cp:coreProperties>
</file>